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D5" w:rsidRDefault="00F70DD5">
      <w:pPr>
        <w:rPr>
          <w:rFonts w:eastAsia="仿宋_GB2312"/>
          <w:sz w:val="30"/>
        </w:rPr>
      </w:pPr>
    </w:p>
    <w:p w:rsidR="00F70DD5" w:rsidRDefault="00BE0E9A">
      <w:pPr>
        <w:spacing w:line="360" w:lineRule="auto"/>
        <w:jc w:val="center"/>
        <w:rPr>
          <w:rFonts w:ascii="黑体" w:eastAsia="黑体" w:hAnsi="黑体"/>
          <w:sz w:val="32"/>
          <w:szCs w:val="32"/>
        </w:rPr>
      </w:pPr>
      <w:r>
        <w:rPr>
          <w:rFonts w:ascii="黑体" w:eastAsia="黑体" w:hAnsi="黑体" w:hint="eastAsia"/>
          <w:sz w:val="32"/>
          <w:szCs w:val="32"/>
        </w:rPr>
        <w:t>苏州市市级预算部门（单位）整体支出预算绩效自评报告</w:t>
      </w:r>
    </w:p>
    <w:p w:rsidR="00F70DD5" w:rsidRDefault="00BE0E9A">
      <w:pPr>
        <w:spacing w:line="360" w:lineRule="auto"/>
        <w:jc w:val="center"/>
        <w:rPr>
          <w:rFonts w:ascii="黑体" w:eastAsia="黑体"/>
          <w:sz w:val="32"/>
          <w:szCs w:val="32"/>
        </w:rPr>
      </w:pPr>
      <w:r>
        <w:rPr>
          <w:rFonts w:ascii="黑体" w:eastAsia="黑体" w:hint="eastAsia"/>
          <w:sz w:val="32"/>
          <w:szCs w:val="32"/>
        </w:rPr>
        <w:t>（</w:t>
      </w:r>
      <w:r w:rsidR="00693D54">
        <w:rPr>
          <w:rFonts w:ascii="黑体" w:eastAsia="黑体" w:hint="eastAsia"/>
          <w:sz w:val="32"/>
          <w:szCs w:val="32"/>
        </w:rPr>
        <w:t>2023</w:t>
      </w:r>
      <w:r>
        <w:rPr>
          <w:rFonts w:ascii="黑体" w:eastAsia="黑体" w:hint="eastAsia"/>
          <w:sz w:val="32"/>
          <w:szCs w:val="32"/>
        </w:rPr>
        <w:t>年度）</w:t>
      </w:r>
    </w:p>
    <w:p w:rsidR="00F70DD5" w:rsidRDefault="00F70DD5">
      <w:pPr>
        <w:spacing w:line="360" w:lineRule="auto"/>
        <w:jc w:val="center"/>
        <w:rPr>
          <w:rFonts w:eastAsia="仿宋_GB2312"/>
          <w:sz w:val="30"/>
        </w:rPr>
      </w:pP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一、预算部门名称：</w:t>
      </w:r>
      <w:r>
        <w:rPr>
          <w:rFonts w:ascii="宋体" w:hAnsi="宋体" w:cs="宋体" w:hint="eastAsia"/>
          <w:sz w:val="24"/>
        </w:rPr>
        <w:t>苏州市红十字会</w:t>
      </w: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二、</w:t>
      </w:r>
      <w:r>
        <w:rPr>
          <w:rFonts w:ascii="黑体" w:eastAsia="黑体" w:hAnsi="黑体"/>
          <w:sz w:val="30"/>
        </w:rPr>
        <w:t>年度履职目标完成情况</w:t>
      </w:r>
      <w:r>
        <w:rPr>
          <w:rFonts w:ascii="黑体" w:eastAsia="黑体" w:hAnsi="黑体" w:hint="eastAsia"/>
          <w:sz w:val="30"/>
        </w:rPr>
        <w:t>：</w:t>
      </w:r>
    </w:p>
    <w:p w:rsidR="00F70DD5" w:rsidRDefault="00BE0E9A">
      <w:pPr>
        <w:spacing w:line="360" w:lineRule="auto"/>
        <w:ind w:firstLineChars="200" w:firstLine="480"/>
        <w:rPr>
          <w:rFonts w:ascii="宋体" w:hAnsi="宋体" w:cs="宋体"/>
          <w:sz w:val="24"/>
        </w:rPr>
      </w:pPr>
      <w:r>
        <w:rPr>
          <w:rFonts w:ascii="宋体" w:hAnsi="宋体" w:cs="宋体" w:hint="eastAsia"/>
          <w:sz w:val="24"/>
        </w:rPr>
        <w:t>2023年以来，苏州市红十字会坚持以习近平新时代中国特色社会主义思想为指导，深入学习贯彻党的二十大精神，紧紧围绕省红十字会目标任务和市委市政府中心工作，锐意进取，敢闯敢为，推动各项工作取得新进展。（一）关注群众健康，救援救护守护公共安全坚持围绕全市经济社会发展大局，做强红十字会主责主业，以红十字会特色优势服务中心工作。以服务健康苏州建设为切入口和着力点，推进应急救援、救护培训和“三献”工作高质量发展。一是增强应急救援能力。坚持日常训练和专项训练相结合，全面提升救援队专业化实战化水平。加强骨干队员培养，选派队员参加应急管理部、省红十字会组织的水域救援培训。“世界急救日”期间举办“数字赋能 救在身边”主题宣传活动，开展水上救援综合演练，救援队专业化实战化水平进一步提升。开展常态化应急救援技能培训6次，组织救援队积极参与志愿服务，重要节假日期间开展景区安全保障服务10场，为企业、社区、学校开展安全生产、防溺水培训演练22场，为金鸡湖龙舟赛、石湖龙舟赛、陈霞基金会公益跑等活动提供安全保障。推动救援队与博爱家园结对，深入社区开展救护培训、防灾减灾救灾知识普及等志愿服务73场，提高居民自救互救能力。二是提升救护培训质效。持续推动应急救护进学校、进社区、进农村、进机关、进企业，大力实施“公益性救护培训7万人”实事项目，着力提升救护培训质效，针对不同需求开展初级救护员、CPR+AED、普及培训等，更好服务市民群众和市场主体的多样化需求。全年共培训19.7万人，其中持证类培训2.5万人，超额完成目标任务。参加全省首届中小学急救教育展示活动获团体一等奖。积极参加全国防灾减灾日、国家安全生产月宣传活动，组织救援队参加防灾减灾救灾知识普及培训。在昆山承办省红十字会“应急救护和健康安全知识进台企”活动，助力优化营商环境，助力台商台企安全生产。建成苏州市生命安全体验馆，以青少年为重点普及生命教育知识。牵头汇总全市近1000台AED点位分布和开放时间，在“苏周到”平台发布“AED地图”，方便群众紧急情况下取用。三是规范开展捐献工作。持续推动造血干细胞宣传和捐献工作，新增造血干细胞采样入库2748人，实现造血干细胞捐献25例。在“世界红十字日”联合陈霞爱心基金会举办“爱髓缘 益起跑”公益宣传活动；在“世界献血者日”积极开展“汇聚青春正能量 无偿献血传爱心”主题宣传活动。积极开展“志愿者保留”项目，减少志愿者流失，完成回访志愿者3.5万人。规范开展遗体器官捐献工作，全年新增报名登记遗体器官捐献4214人，实现遗体捐献204例、器官捐献22例、角膜捐献102例。加强角膜接收站、遗体接收站的规范化建设，进一步明确服务标准和捐献流程，优化服务质量，苏大医学院遗体接收站告别厅、灌注保存室等完成升级改造。清明节前夕，在捐献纪念园举办江苏省暨苏州市“生命 遇见”深切缅怀遗体、人体器官（角膜）捐献者活动。（二）聚焦基层基础，人道服务增进民生福祉坚持工作下沉、资源下倾，着力夯实红十字会的基层基础。持续扩大基层红十字会覆盖面和影响力，推动博爱家园融入新时代文明实践中心（所、站），把红十字服务送到群众身边。一是加大人道救助力度。全市红十字会系统接收捐赠款物4034万元，发放救助款物3817万元。常态化开展博爱送万家活动，在春节、七一、重阳等重要时间节点慰问困难群众，发放款物404.55万元，6759户困难家庭16647人受益。协助39名患儿家属申请彩票公益金“大病儿童救助”，获得125万元救助款。关爱残疾人福祉，联合市工商联启动“红十字·红围巾”助残项目，为残疾人提供就医陪伴服务，帮助重度视力残疾人员解决就医困难问题。关注“一老一小”，联合康养集团发布“点亮孤岛”关爱认知障碍者公益品牌。与报国寺签约“印光法师德智助学基金”，每年资助困难学生10万元。大力开展对口支援，组织团体会员单位向青海玉树捐赠价值10万元儿童太阳眼镜，开展免费义诊活动。向东北、河北水灾地区捐赠款物近300万元，向陕西周至、青海玉树等捐赠价值179万元御寒衣物，向新疆巩留县捐赠价值42.2万元妇女儿童用品。甘肃地震发生后，接受社会捐赠款物245万元，第一时间用于灾区一线。二是扩大组织阵地覆盖。创新在全市学校红十字会开展“博爱”系列评选活动。新建立博爱家园14个，新成立博爱家园红十字会6个，新增志愿服务组织69个，在社区新配备AED100个。创新拓展基层组织阵地覆盖面，支持姑苏区在楼宇、产业园成立博爱家园，服务新业态新就业群体；在华恒数字科技有限公司首次成立企业红十字会，在猎豹特卫保安服务有限公司首次成立企业红十字志愿服务队，新成立1个高校红十字会。积极探索博爱家园筹资模式，全年接收捐赠6.8万元。三是大力开展志愿服务。依托博爱家园因地制宜开展救护培训、养老照护、防灾减灾宣传和红十字知识宣传等活动。全年投入人道服务资金25万元，开展人道服务项目56个，开展救护培训385场，累计受益人数1.6万人。开展“博爱送健康”义诊活动180场，服务2万人次。推动高校红十字会积极参与红十字事业，大力实施博爱青春暑期志愿服务项目，12所高校踊跃申报55个项目，5个获省级支持，20个获市级支持，共有827名高校红十字青年志愿者参与，累计志愿服务17944 小时，受益 22423人，苏州健雄职业技术学院“城市摆渡人 ‘救’在每公里”项目获评全省金奖项目。（三）突出资源动员，人道筹资汇聚爱心善意紧扣“世界红十字日”“世界献血者日”等重大时间节点，精心策划宣传活动和新闻报道，动员社会资源支持和参与红十字事业。一是提升人道传播能力。组织“携手人道 链接美好”主题宣传活动、“5·8”线上红十字知识竞赛、纪念第76个世界红十字日主题宣传活动等，丰富宣传形式和内容，传播能力明显增强。全市红十字会系统被各类媒体报道380余次，市红十字会微信公众号发布文章147篇，总阅读量6.8万人次，粉丝数增长至10.3万人。其中，百岁新四军战士何娴轩捐出毕生积蓄成立助学基金的新闻被人民日报、光明网等主流媒体广泛报道，新四军老战士矢志不渝、对党忠诚、心怀人民的理想信念和高尚情怀感动了广大网友。二是提升网络筹资能力。以网络筹资为重点提升人道筹资能力。积极探索网络筹资新模式，适应新规则，认真筹划筹资项目。加强与教育、残联、工商联等部门沟通合作，围绕群众急难愁盼设计人道筹资项目。积极参加“5·8公益日”线上筹资活动，聚焦群众生命健康安全，精心开展AED等筹资项目，筹资成效显著提升，全市6个项目筹资104.6万元，相比2022年翻一番，“暖心团圆饭”项目获评筹资优秀项目，姑苏区“红十字AED计划2”项目位列全省网络人气项目第一名，市红十字会获活动贡献奖。“99公益日”期间上线7个项目筹资102万元。三是发挥民间外交作用。主动发挥民间外交作用，促进中外民心相通，展示苏州现代化建设新成就和城市文明好形象。向叙利亚地震灾区捐赠价值近200万元的救灾物资，叙利亚驻华使馆致信感谢。向苏州友好城市乌拉圭弗雷本托斯市捐赠40万用于帮助当地困难群众改善居住条件，为苏州友好城市交流贡献人道力量。成功承办“红气球挑战赛”（苏州站）国际青年邀请赛，1100余名青年选手参加活动，受到各大主流媒体关注报道。协办中国红十字会第三届东吴国际人道论坛，来自4个国际组织和15个国家红会的代表参加论坛，受到总会、省红十字会充分肯定。</w:t>
      </w:r>
    </w:p>
    <w:p w:rsidR="00F70DD5" w:rsidRDefault="00BE0E9A">
      <w:pPr>
        <w:spacing w:line="360" w:lineRule="auto"/>
        <w:ind w:left="600"/>
        <w:rPr>
          <w:rFonts w:ascii="黑体" w:eastAsia="黑体" w:hAnsi="黑体"/>
          <w:sz w:val="30"/>
        </w:rPr>
      </w:pPr>
      <w:r>
        <w:rPr>
          <w:rFonts w:ascii="黑体" w:eastAsia="黑体" w:hAnsi="黑体" w:hint="eastAsia"/>
          <w:sz w:val="30"/>
        </w:rPr>
        <w:t>三、</w:t>
      </w:r>
      <w:r>
        <w:rPr>
          <w:rFonts w:ascii="黑体" w:eastAsia="黑体" w:hAnsi="黑体" w:hint="eastAsia"/>
          <w:sz w:val="30"/>
        </w:rPr>
        <w:t>部门（单位）概况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本单位为苏州市红十字会所属一级预算单位，单位类型为参照公务员管理事业单位，2023年底苏州市红十字会有参公人员16人，公益性岗位5人，较上年无变化。</w:t>
      </w:r>
    </w:p>
    <w:p w:rsidR="00F70DD5" w:rsidRDefault="00BE0E9A">
      <w:pPr>
        <w:spacing w:line="360" w:lineRule="auto"/>
        <w:ind w:left="600"/>
        <w:rPr>
          <w:rFonts w:ascii="黑体" w:eastAsia="黑体" w:hAnsi="黑体"/>
          <w:sz w:val="30"/>
        </w:rPr>
      </w:pPr>
      <w:r>
        <w:rPr>
          <w:rFonts w:ascii="黑体" w:eastAsia="黑体" w:hAnsi="黑体" w:hint="eastAsia"/>
          <w:sz w:val="30"/>
        </w:rPr>
        <w:t>四、</w:t>
      </w:r>
      <w:r>
        <w:rPr>
          <w:rFonts w:ascii="黑体" w:eastAsia="黑体" w:hAnsi="黑体" w:hint="eastAsia"/>
          <w:sz w:val="30"/>
        </w:rPr>
        <w:t>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整体支出绩效实现情况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一）全面实施预算项目绩效目标管理一是将部门预算项目全面纳入绩效管理。对我会2023年度预算项目全部制定绩效目标，在申请项目时填报详细绩效信息，包括立项依据、项目内容和目标、实施周期、投入总额、已投入金额、本年度预算目标和金额等。二是强化项目绩效管理责任。成立绩效管理工作领导小组，负责全面组织、协调和推进本部门全方位、全过程、全链条绩效管理工作，全力推进自主绩效管理工作开展。（二）积极推进项目绩效评价在加强预算编制环节的基础上，加强预算执行监管和执行结果评价，将绩效目标渗透到预算管理的事前、事中、事后各个环节。开展单位自我评价基础，积极配合财政对部分项目开展再评价，及时公开反馈评价结果，促进加强支出管理和下年度预算编审工作。（三）加强重点项目绩效监控对我会“红十字公益服务工作经费”项目开展重点监控，时刻掌握项目开展序时进度，2023年红十字公益服务工作经费的年度绩效目标均已100%完成。</w:t>
      </w:r>
    </w:p>
    <w:p w:rsidR="00F70DD5" w:rsidRDefault="00BE0E9A">
      <w:pPr>
        <w:spacing w:line="360" w:lineRule="auto"/>
        <w:ind w:left="600"/>
        <w:rPr>
          <w:rFonts w:ascii="黑体" w:eastAsia="黑体" w:hAnsi="黑体"/>
          <w:sz w:val="30"/>
        </w:rPr>
      </w:pPr>
      <w:r>
        <w:rPr>
          <w:rFonts w:ascii="黑体" w:eastAsia="黑体" w:hAnsi="黑体" w:hint="eastAsia"/>
          <w:sz w:val="30"/>
        </w:rPr>
        <w:t>五、</w:t>
      </w:r>
      <w:r>
        <w:rPr>
          <w:rFonts w:ascii="黑体" w:eastAsia="黑体" w:hAnsi="黑体" w:hint="eastAsia"/>
          <w:sz w:val="30"/>
        </w:rPr>
        <w:t>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整体支出绩效中存</w:t>
      </w:r>
      <w:r>
        <w:rPr>
          <w:rFonts w:ascii="黑体" w:eastAsia="黑体" w:hAnsi="黑体"/>
          <w:sz w:val="30"/>
        </w:rPr>
        <w:t>在问题</w:t>
      </w:r>
      <w:r>
        <w:rPr>
          <w:rFonts w:ascii="黑体" w:eastAsia="黑体" w:hAnsi="黑体" w:hint="eastAsia"/>
          <w:sz w:val="30"/>
        </w:rPr>
        <w:t>及</w:t>
      </w:r>
      <w:r>
        <w:rPr>
          <w:rFonts w:ascii="黑体" w:eastAsia="黑体" w:hAnsi="黑体"/>
          <w:sz w:val="30"/>
        </w:rPr>
        <w:t>改进措施</w:t>
      </w:r>
    </w:p>
    <w:p w:rsidR="00F70DD5" w:rsidRDefault="00BE0E9A">
      <w:pPr>
        <w:spacing w:line="360" w:lineRule="auto"/>
        <w:ind w:firstLineChars="200" w:firstLine="480"/>
        <w:rPr>
          <w:rFonts w:ascii="宋体" w:hAnsi="宋体" w:cs="宋体"/>
          <w:sz w:val="24"/>
        </w:rPr>
      </w:pPr>
      <w:r>
        <w:rPr>
          <w:rFonts w:ascii="宋体" w:hAnsi="宋体" w:cs="宋体" w:hint="eastAsia"/>
          <w:sz w:val="24"/>
        </w:rPr>
        <w:t>存在的问题：一是评价标准不明确，评价标准不够明确或者较为定性型，可能会导致评价结果不准确或者存在争议。二是反馈机制不完善，部门整体绩效评价结果反馈机制不完善，尚未得到足够的重视。三是过于注重短期成果，导致部门忽略长期发展目标。改进措施：一是进一步明确工作职责。充分认识自主预算绩效管理工作的重要性和必要性，细化明确各部室预算绩效管理工作任务，确保自主预算绩效管理工作顺利实施，有序推进。二是进一步明晰工作流程。深入学习预算绩效管理规定要求，明确工作步骤和业务流程，深化运用绩效评价的方式方法。在开展自主绩效管理工作过程中，遵循“突出重点，分类管理”原则，根据实际情况，分析研究项目特性，明确管理重点，开展分类别、分层次的个性化预算绩效管理。三是进一步加强沟通协作。部门自主预算绩效管理工作涉及我会各部室，涉及面较广，各部室间进一步加强沟通协调，注重团队合作，精心组织实施，推动自主绩效管理工作取得实效。</w:t>
      </w:r>
    </w:p>
    <w:p w:rsidR="00F70DD5" w:rsidRDefault="00BE0E9A">
      <w:pPr>
        <w:spacing w:line="360" w:lineRule="auto"/>
        <w:ind w:left="600"/>
        <w:rPr>
          <w:rFonts w:ascii="黑体" w:eastAsia="黑体" w:hAnsi="黑体"/>
          <w:sz w:val="30"/>
        </w:rPr>
      </w:pPr>
      <w:r>
        <w:rPr>
          <w:rFonts w:ascii="黑体" w:eastAsia="黑体" w:hAnsi="黑体" w:hint="eastAsia"/>
          <w:sz w:val="30"/>
        </w:rPr>
        <w:t>六、</w:t>
      </w:r>
      <w:r>
        <w:rPr>
          <w:rFonts w:ascii="黑体" w:eastAsia="黑体" w:hAnsi="黑体"/>
          <w:sz w:val="30"/>
        </w:rPr>
        <w:t>绩效自评</w:t>
      </w:r>
      <w:r>
        <w:rPr>
          <w:rFonts w:ascii="黑体" w:eastAsia="黑体" w:hAnsi="黑体" w:hint="eastAsia"/>
          <w:sz w:val="30"/>
        </w:rPr>
        <w:t>结果</w:t>
      </w:r>
      <w:r>
        <w:rPr>
          <w:rFonts w:ascii="黑体" w:eastAsia="黑体" w:hAnsi="黑体"/>
          <w:sz w:val="30"/>
        </w:rPr>
        <w:t>拟应用和公开</w:t>
      </w:r>
      <w:r>
        <w:rPr>
          <w:rFonts w:ascii="黑体" w:eastAsia="黑体" w:hAnsi="黑体" w:hint="eastAsia"/>
          <w:sz w:val="30"/>
        </w:rPr>
        <w:t>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将自评价结果作为以后年度编制预算和安排资金的重要依据，对重点项目自评价结果进行公开，绩效评价结果差的调减项目预算，结果好的优先安排。根据绩效评价中发现的问题，及时提出对应措施，督促执行部室整改到位，逐步改进绩效管理水平，将评价结果纳入各部室工作目标考核范畴并作为重要依据。</w:t>
      </w:r>
    </w:p>
    <w:p w:rsidR="00F70DD5" w:rsidRDefault="00F70DD5">
      <w:pPr>
        <w:spacing w:line="360" w:lineRule="auto"/>
        <w:rPr>
          <w:rFonts w:ascii="黑体" w:eastAsia="黑体" w:hAnsi="黑体"/>
          <w:sz w:val="30"/>
        </w:rPr>
        <w:sectPr w:rsidR="00F70DD5">
          <w:headerReference w:type="even" r:id="rId7"/>
          <w:headerReference w:type="default" r:id="rId8"/>
          <w:footerReference w:type="even" r:id="rId9"/>
          <w:footerReference w:type="default" r:id="rId10"/>
          <w:pgSz w:w="11907" w:h="16840"/>
          <w:pgMar w:top="1247" w:right="1400" w:bottom="1089" w:left="1559" w:header="851" w:footer="992" w:gutter="0"/>
          <w:paperSrc w:first="15" w:other="15"/>
          <w:cols w:space="720"/>
          <w:docGrid w:type="lines" w:linePitch="312"/>
        </w:sect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lastRenderedPageBreak/>
        <w:t>预算信息</w:t>
      </w:r>
    </w:p>
    <w:p w:rsidR="00F70DD5" w:rsidRDefault="00F70DD5">
      <w:pPr>
        <w:spacing w:line="360" w:lineRule="auto"/>
        <w:ind w:left="600"/>
        <w:rPr>
          <w:rFonts w:ascii="黑体" w:eastAsia="黑体" w:hAnsi="黑体"/>
          <w:sz w:val="30"/>
        </w:rPr>
      </w:pP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9"/>
        <w:gridCol w:w="2268"/>
        <w:gridCol w:w="2268"/>
        <w:gridCol w:w="2268"/>
        <w:gridCol w:w="2268"/>
        <w:gridCol w:w="2268"/>
      </w:tblGrid>
      <w:tr w:rsidR="00F70DD5">
        <w:trPr>
          <w:trHeight w:val="339"/>
        </w:trPr>
        <w:tc>
          <w:tcPr>
            <w:tcW w:w="307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本年度预算资金（万元）</w:t>
            </w:r>
            <w:r>
              <w:rPr>
                <w:rFonts w:ascii="宋体" w:hAnsi="宋体" w:cs="宋体" w:hint="eastAsia"/>
                <w:b/>
                <w:bCs/>
                <w:kern w:val="0"/>
                <w:sz w:val="24"/>
              </w:rPr>
              <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年初预算数（万元）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上年度结转及当年预算追加追减数</w:t>
            </w:r>
            <w:r>
              <w:rPr>
                <w:rFonts w:ascii="宋体" w:hAnsi="宋体" w:cs="宋体" w:hint="eastAsia"/>
                <w:b/>
                <w:bCs/>
                <w:kern w:val="0"/>
                <w:sz w:val="24"/>
              </w:rPr>
              <w:t>(</w:t>
            </w:r>
            <w:r>
              <w:rPr>
                <w:rFonts w:ascii="宋体" w:hAnsi="宋体" w:cs="宋体" w:hint="eastAsia"/>
                <w:b/>
                <w:bCs/>
                <w:kern w:val="0"/>
                <w:sz w:val="24"/>
              </w:rPr>
              <w:t>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调整预算数（万元）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实际支出数（万元）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执行率（</w:t>
            </w:r>
            <w:r>
              <w:rPr>
                <w:rFonts w:ascii="宋体" w:hAnsi="宋体" w:cs="宋体" w:hint="eastAsia"/>
                <w:b/>
                <w:bCs/>
                <w:kern w:val="0"/>
                <w:sz w:val="24"/>
              </w:rPr>
              <w:t>%)</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预算总金额</w:t>
            </w:r>
          </w:p>
        </w:tc>
        <w:tc>
          <w:tcPr>
            <w:tcW w:w="2268" w:type="dxa"/>
            <w:vAlign w:val="center"/>
          </w:tcPr>
          <w:p>
            <w:pPr>
              <w:widowControl/>
              <w:jc w:val="center"/>
              <w:rPr>
                <w:rFonts w:ascii="宋体" w:hAnsi="宋体" w:cs="宋体"/>
                <w:kern w:val="0"/>
                <w:sz w:val="24"/>
              </w:rPr>
            </w:pPr>
            <w:r>
              <w:rPr>
                <w:rFonts w:ascii="宋体" w:hAnsi="宋体" w:cs="宋体" w:hint="eastAsia"/>
                <w:sz w:val="24"/>
              </w:rPr>
              <w:t>1075.37</w:t>
            </w:r>
          </w:p>
        </w:tc>
        <w:tc>
          <w:tcPr>
            <w:tcW w:w="2268" w:type="dxa"/>
            <w:vAlign w:val="center"/>
          </w:tcPr>
          <w:p>
            <w:pPr>
              <w:widowControl/>
              <w:jc w:val="center"/>
              <w:rPr>
                <w:rFonts w:ascii="宋体" w:hAnsi="宋体" w:cs="宋体"/>
                <w:sz w:val="24"/>
              </w:rPr>
            </w:pPr>
            <w:r>
              <w:rPr>
                <w:rFonts w:ascii="宋体" w:hAnsi="宋体" w:cs="宋体" w:hint="eastAsia"/>
                <w:sz w:val="24"/>
              </w:rPr>
              <w:t>101.36</w:t>
            </w:r>
          </w:p>
        </w:tc>
        <w:tc>
          <w:tcPr>
            <w:tcW w:w="2268" w:type="dxa"/>
            <w:vAlign w:val="center"/>
          </w:tcPr>
          <w:p>
            <w:pPr>
              <w:widowControl/>
              <w:jc w:val="center"/>
              <w:rPr>
                <w:rFonts w:ascii="宋体" w:hAnsi="宋体" w:cs="宋体"/>
                <w:sz w:val="24"/>
              </w:rPr>
            </w:pPr>
            <w:r>
              <w:rPr>
                <w:rFonts w:ascii="宋体" w:hAnsi="宋体" w:cs="宋体" w:hint="eastAsia"/>
                <w:sz w:val="24"/>
              </w:rPr>
              <w:t>1176.7299999999998</w:t>
            </w:r>
          </w:p>
        </w:tc>
        <w:tc>
          <w:tcPr>
            <w:tcW w:w="2268" w:type="dxa"/>
            <w:vAlign w:val="center"/>
          </w:tcPr>
          <w:p>
            <w:pPr>
              <w:widowControl/>
              <w:jc w:val="center"/>
              <w:rPr>
                <w:rFonts w:ascii="宋体" w:hAnsi="宋体" w:cs="宋体"/>
                <w:sz w:val="24"/>
              </w:rPr>
            </w:pPr>
            <w:r>
              <w:rPr>
                <w:rFonts w:ascii="宋体" w:hAnsi="宋体" w:cs="宋体" w:hint="eastAsia"/>
                <w:sz w:val="24"/>
              </w:rPr>
              <w:t>1140.78</w:t>
            </w:r>
          </w:p>
        </w:tc>
        <w:tc>
          <w:tcPr>
            <w:tcW w:w="2268" w:type="dxa"/>
            <w:vAlign w:val="center"/>
          </w:tcPr>
          <w:p>
            <w:pPr>
              <w:widowControl/>
              <w:jc w:val="center"/>
              <w:rPr>
                <w:rFonts w:ascii="宋体" w:hAnsi="宋体" w:cs="宋体"/>
                <w:sz w:val="24"/>
              </w:rPr>
            </w:pPr>
            <w:r>
              <w:rPr>
                <w:rFonts w:ascii="宋体" w:hAnsi="宋体" w:cs="宋体" w:hint="eastAsia"/>
                <w:sz w:val="24"/>
              </w:rPr>
              <w:t>96.94%</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基本支出</w:t>
            </w:r>
          </w:p>
        </w:tc>
        <w:tc>
          <w:tcPr>
            <w:tcW w:w="2268" w:type="dxa"/>
            <w:vAlign w:val="center"/>
          </w:tcPr>
          <w:p>
            <w:pPr>
              <w:widowControl/>
              <w:jc w:val="center"/>
              <w:rPr>
                <w:rFonts w:ascii="宋体" w:hAnsi="宋体" w:cs="宋体"/>
                <w:kern w:val="0"/>
                <w:sz w:val="24"/>
              </w:rPr>
            </w:pPr>
            <w:r>
              <w:rPr>
                <w:rFonts w:ascii="宋体" w:hAnsi="宋体" w:cs="宋体" w:hint="eastAsia"/>
                <w:sz w:val="24"/>
              </w:rPr>
              <w:t>785.72</w:t>
            </w:r>
          </w:p>
        </w:tc>
        <w:tc>
          <w:tcPr>
            <w:tcW w:w="2268" w:type="dxa"/>
            <w:vAlign w:val="center"/>
          </w:tcPr>
          <w:p>
            <w:pPr>
              <w:widowControl/>
              <w:jc w:val="center"/>
              <w:rPr>
                <w:rFonts w:ascii="宋体" w:hAnsi="宋体" w:cs="宋体"/>
                <w:sz w:val="24"/>
              </w:rPr>
            </w:pPr>
            <w:r>
              <w:rPr>
                <w:rFonts w:ascii="宋体" w:hAnsi="宋体" w:cs="宋体" w:hint="eastAsia"/>
                <w:sz w:val="24"/>
              </w:rPr>
              <w:t>98.02</w:t>
            </w:r>
          </w:p>
        </w:tc>
        <w:tc>
          <w:tcPr>
            <w:tcW w:w="2268" w:type="dxa"/>
            <w:vAlign w:val="center"/>
          </w:tcPr>
          <w:p>
            <w:pPr>
              <w:widowControl/>
              <w:jc w:val="center"/>
              <w:rPr>
                <w:rFonts w:ascii="宋体" w:hAnsi="宋体" w:cs="宋体"/>
                <w:sz w:val="24"/>
              </w:rPr>
            </w:pPr>
            <w:r>
              <w:rPr>
                <w:rFonts w:ascii="宋体" w:hAnsi="宋体" w:cs="宋体" w:hint="eastAsia"/>
                <w:sz w:val="24"/>
              </w:rPr>
              <w:t>883.74</w:t>
            </w:r>
          </w:p>
        </w:tc>
        <w:tc>
          <w:tcPr>
            <w:tcW w:w="2268" w:type="dxa"/>
            <w:vAlign w:val="center"/>
          </w:tcPr>
          <w:p>
            <w:pPr>
              <w:widowControl/>
              <w:jc w:val="center"/>
              <w:rPr>
                <w:rFonts w:ascii="宋体" w:hAnsi="宋体" w:cs="宋体"/>
                <w:sz w:val="24"/>
              </w:rPr>
            </w:pPr>
            <w:r>
              <w:rPr>
                <w:rFonts w:ascii="宋体" w:hAnsi="宋体" w:cs="宋体" w:hint="eastAsia"/>
                <w:sz w:val="24"/>
              </w:rPr>
              <w:t>848.8</w:t>
            </w:r>
          </w:p>
        </w:tc>
        <w:tc>
          <w:tcPr>
            <w:tcW w:w="2268" w:type="dxa"/>
            <w:vAlign w:val="center"/>
          </w:tcPr>
          <w:p>
            <w:pPr>
              <w:widowControl/>
              <w:jc w:val="center"/>
              <w:rPr>
                <w:rFonts w:ascii="宋体" w:hAnsi="宋体" w:cs="宋体"/>
                <w:sz w:val="24"/>
              </w:rPr>
            </w:pPr>
            <w:r>
              <w:rPr>
                <w:rFonts w:ascii="宋体" w:hAnsi="宋体" w:cs="宋体" w:hint="eastAsia"/>
                <w:sz w:val="24"/>
              </w:rPr>
              <w:t>96.05%</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项目支出</w:t>
            </w:r>
          </w:p>
        </w:tc>
        <w:tc>
          <w:tcPr>
            <w:tcW w:w="2268" w:type="dxa"/>
            <w:vAlign w:val="center"/>
          </w:tcPr>
          <w:p>
            <w:pPr>
              <w:widowControl/>
              <w:jc w:val="center"/>
              <w:rPr>
                <w:rFonts w:ascii="宋体" w:hAnsi="宋体" w:cs="宋体"/>
                <w:kern w:val="0"/>
                <w:sz w:val="24"/>
              </w:rPr>
            </w:pPr>
            <w:r>
              <w:rPr>
                <w:rFonts w:ascii="宋体" w:hAnsi="宋体" w:cs="宋体" w:hint="eastAsia"/>
                <w:sz w:val="24"/>
              </w:rPr>
              <w:t>289.65</w:t>
            </w:r>
          </w:p>
        </w:tc>
        <w:tc>
          <w:tcPr>
            <w:tcW w:w="2268" w:type="dxa"/>
            <w:vAlign w:val="center"/>
          </w:tcPr>
          <w:p>
            <w:pPr>
              <w:widowControl/>
              <w:jc w:val="center"/>
              <w:rPr>
                <w:rFonts w:ascii="宋体" w:hAnsi="宋体" w:cs="宋体"/>
                <w:sz w:val="24"/>
              </w:rPr>
            </w:pPr>
            <w:r>
              <w:rPr>
                <w:rFonts w:ascii="宋体" w:hAnsi="宋体" w:cs="宋体" w:hint="eastAsia"/>
                <w:sz w:val="24"/>
              </w:rPr>
              <w:t>3.34</w:t>
            </w:r>
          </w:p>
        </w:tc>
        <w:tc>
          <w:tcPr>
            <w:tcW w:w="2268" w:type="dxa"/>
            <w:vAlign w:val="center"/>
          </w:tcPr>
          <w:p>
            <w:pPr>
              <w:widowControl/>
              <w:jc w:val="center"/>
              <w:rPr>
                <w:rFonts w:ascii="宋体" w:hAnsi="宋体" w:cs="宋体"/>
                <w:sz w:val="24"/>
              </w:rPr>
            </w:pPr>
            <w:r>
              <w:rPr>
                <w:rFonts w:ascii="宋体" w:hAnsi="宋体" w:cs="宋体" w:hint="eastAsia"/>
                <w:sz w:val="24"/>
              </w:rPr>
              <w:t>292.98999999999995</w:t>
            </w:r>
          </w:p>
        </w:tc>
        <w:tc>
          <w:tcPr>
            <w:tcW w:w="2268" w:type="dxa"/>
            <w:vAlign w:val="center"/>
          </w:tcPr>
          <w:p>
            <w:pPr>
              <w:widowControl/>
              <w:jc w:val="center"/>
              <w:rPr>
                <w:rFonts w:ascii="宋体" w:hAnsi="宋体" w:cs="宋体"/>
                <w:sz w:val="24"/>
              </w:rPr>
            </w:pPr>
            <w:r>
              <w:rPr>
                <w:rFonts w:ascii="宋体" w:hAnsi="宋体" w:cs="宋体" w:hint="eastAsia"/>
                <w:sz w:val="24"/>
              </w:rPr>
              <w:t>291.98</w:t>
            </w:r>
          </w:p>
        </w:tc>
        <w:tc>
          <w:tcPr>
            <w:tcW w:w="2268" w:type="dxa"/>
            <w:vAlign w:val="center"/>
          </w:tcPr>
          <w:p>
            <w:pPr>
              <w:widowControl/>
              <w:jc w:val="center"/>
              <w:rPr>
                <w:rFonts w:ascii="宋体" w:hAnsi="宋体" w:cs="宋体"/>
                <w:sz w:val="24"/>
              </w:rPr>
            </w:pPr>
            <w:r>
              <w:rPr>
                <w:rFonts w:ascii="宋体" w:hAnsi="宋体" w:cs="宋体" w:hint="eastAsia"/>
                <w:sz w:val="24"/>
              </w:rPr>
              <w:t>99.66%</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信息化维护费</w:t>
            </w:r>
          </w:p>
        </w:tc>
        <w:tc>
          <w:tcPr>
            <w:tcW w:w="2268" w:type="dxa"/>
            <w:vAlign w:val="center"/>
          </w:tcPr>
          <w:p>
            <w:pPr>
              <w:widowControl/>
              <w:jc w:val="center"/>
              <w:rPr>
                <w:rFonts w:ascii="宋体" w:hAnsi="宋体" w:cs="宋体"/>
                <w:kern w:val="0"/>
                <w:sz w:val="24"/>
              </w:rPr>
            </w:pPr>
            <w:r>
              <w:rPr>
                <w:rFonts w:ascii="宋体" w:hAnsi="宋体" w:cs="宋体" w:hint="eastAsia"/>
                <w:sz w:val="24"/>
              </w:rPr>
              <w:t>9.11</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9.11</w:t>
            </w:r>
          </w:p>
        </w:tc>
        <w:tc>
          <w:tcPr>
            <w:tcW w:w="2268" w:type="dxa"/>
            <w:vAlign w:val="center"/>
          </w:tcPr>
          <w:p>
            <w:pPr>
              <w:widowControl/>
              <w:jc w:val="center"/>
              <w:rPr>
                <w:rFonts w:ascii="宋体" w:hAnsi="宋体" w:cs="宋体"/>
                <w:sz w:val="24"/>
              </w:rPr>
            </w:pPr>
            <w:r>
              <w:rPr>
                <w:rFonts w:ascii="宋体" w:hAnsi="宋体" w:cs="宋体" w:hint="eastAsia"/>
                <w:sz w:val="24"/>
              </w:rPr>
              <w:t>9.11</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政策法规普及宣传经费</w:t>
            </w:r>
          </w:p>
        </w:tc>
        <w:tc>
          <w:tcPr>
            <w:tcW w:w="2268" w:type="dxa"/>
            <w:vAlign w:val="center"/>
          </w:tcPr>
          <w:p>
            <w:pPr>
              <w:widowControl/>
              <w:jc w:val="center"/>
              <w:rPr>
                <w:rFonts w:ascii="宋体" w:hAnsi="宋体" w:cs="宋体"/>
                <w:kern w:val="0"/>
                <w:sz w:val="24"/>
              </w:rPr>
            </w:pPr>
            <w:r>
              <w:rPr>
                <w:rFonts w:ascii="宋体" w:hAnsi="宋体" w:cs="宋体" w:hint="eastAsia"/>
                <w:sz w:val="24"/>
              </w:rPr>
              <w:t>9.77</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9.77</w:t>
            </w:r>
          </w:p>
        </w:tc>
        <w:tc>
          <w:tcPr>
            <w:tcW w:w="2268" w:type="dxa"/>
            <w:vAlign w:val="center"/>
          </w:tcPr>
          <w:p>
            <w:pPr>
              <w:widowControl/>
              <w:jc w:val="center"/>
              <w:rPr>
                <w:rFonts w:ascii="宋体" w:hAnsi="宋体" w:cs="宋体"/>
                <w:sz w:val="24"/>
              </w:rPr>
            </w:pPr>
            <w:r>
              <w:rPr>
                <w:rFonts w:ascii="宋体" w:hAnsi="宋体" w:cs="宋体" w:hint="eastAsia"/>
                <w:sz w:val="24"/>
              </w:rPr>
              <w:t>9.77</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物业管理费</w:t>
            </w:r>
          </w:p>
        </w:tc>
        <w:tc>
          <w:tcPr>
            <w:tcW w:w="2268" w:type="dxa"/>
            <w:vAlign w:val="center"/>
          </w:tcPr>
          <w:p>
            <w:pPr>
              <w:widowControl/>
              <w:jc w:val="center"/>
              <w:rPr>
                <w:rFonts w:ascii="宋体" w:hAnsi="宋体" w:cs="宋体"/>
                <w:kern w:val="0"/>
                <w:sz w:val="24"/>
              </w:rPr>
            </w:pPr>
            <w:r>
              <w:rPr>
                <w:rFonts w:ascii="宋体" w:hAnsi="宋体" w:cs="宋体" w:hint="eastAsia"/>
                <w:sz w:val="24"/>
              </w:rPr>
              <w:t>24.5</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24.5</w:t>
            </w:r>
          </w:p>
        </w:tc>
        <w:tc>
          <w:tcPr>
            <w:tcW w:w="2268" w:type="dxa"/>
            <w:vAlign w:val="center"/>
          </w:tcPr>
          <w:p>
            <w:pPr>
              <w:widowControl/>
              <w:jc w:val="center"/>
              <w:rPr>
                <w:rFonts w:ascii="宋体" w:hAnsi="宋体" w:cs="宋体"/>
                <w:sz w:val="24"/>
              </w:rPr>
            </w:pPr>
            <w:r>
              <w:rPr>
                <w:rFonts w:ascii="宋体" w:hAnsi="宋体" w:cs="宋体" w:hint="eastAsia"/>
                <w:sz w:val="24"/>
              </w:rPr>
              <w:t>24.5</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专项档案整理保管费</w:t>
            </w:r>
          </w:p>
        </w:tc>
        <w:tc>
          <w:tcPr>
            <w:tcW w:w="2268" w:type="dxa"/>
            <w:vAlign w:val="center"/>
          </w:tcPr>
          <w:p>
            <w:pPr>
              <w:widowControl/>
              <w:jc w:val="center"/>
              <w:rPr>
                <w:rFonts w:ascii="宋体" w:hAnsi="宋体" w:cs="宋体"/>
                <w:kern w:val="0"/>
                <w:sz w:val="24"/>
              </w:rPr>
            </w:pPr>
            <w:r>
              <w:rPr>
                <w:rFonts w:ascii="宋体" w:hAnsi="宋体" w:cs="宋体" w:hint="eastAsia"/>
                <w:sz w:val="24"/>
              </w:rPr>
              <w:t>3</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3</w:t>
            </w:r>
          </w:p>
        </w:tc>
        <w:tc>
          <w:tcPr>
            <w:tcW w:w="2268" w:type="dxa"/>
            <w:vAlign w:val="center"/>
          </w:tcPr>
          <w:p>
            <w:pPr>
              <w:widowControl/>
              <w:jc w:val="center"/>
              <w:rPr>
                <w:rFonts w:ascii="宋体" w:hAnsi="宋体" w:cs="宋体"/>
                <w:sz w:val="24"/>
              </w:rPr>
            </w:pPr>
            <w:r>
              <w:rPr>
                <w:rFonts w:ascii="宋体" w:hAnsi="宋体" w:cs="宋体" w:hint="eastAsia"/>
                <w:sz w:val="24"/>
              </w:rPr>
              <w:t>3</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专项调研调查费</w:t>
            </w:r>
          </w:p>
        </w:tc>
        <w:tc>
          <w:tcPr>
            <w:tcW w:w="2268" w:type="dxa"/>
            <w:vAlign w:val="center"/>
          </w:tcPr>
          <w:p>
            <w:pPr>
              <w:widowControl/>
              <w:jc w:val="center"/>
              <w:rPr>
                <w:rFonts w:ascii="宋体" w:hAnsi="宋体" w:cs="宋体"/>
                <w:kern w:val="0"/>
                <w:sz w:val="24"/>
              </w:rPr>
            </w:pPr>
            <w:r>
              <w:rPr>
                <w:rFonts w:ascii="宋体" w:hAnsi="宋体" w:cs="宋体" w:hint="eastAsia"/>
                <w:sz w:val="24"/>
              </w:rPr>
              <w:t>4.75</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4.75</w:t>
            </w:r>
          </w:p>
        </w:tc>
        <w:tc>
          <w:tcPr>
            <w:tcW w:w="2268" w:type="dxa"/>
            <w:vAlign w:val="center"/>
          </w:tcPr>
          <w:p>
            <w:pPr>
              <w:widowControl/>
              <w:jc w:val="center"/>
              <w:rPr>
                <w:rFonts w:ascii="宋体" w:hAnsi="宋体" w:cs="宋体"/>
                <w:sz w:val="24"/>
              </w:rPr>
            </w:pPr>
            <w:r>
              <w:rPr>
                <w:rFonts w:ascii="宋体" w:hAnsi="宋体" w:cs="宋体" w:hint="eastAsia"/>
                <w:sz w:val="24"/>
              </w:rPr>
              <w:t>4.75</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专项培训费</w:t>
            </w:r>
          </w:p>
        </w:tc>
        <w:tc>
          <w:tcPr>
            <w:tcW w:w="2268" w:type="dxa"/>
            <w:vAlign w:val="center"/>
          </w:tcPr>
          <w:p>
            <w:pPr>
              <w:widowControl/>
              <w:jc w:val="center"/>
              <w:rPr>
                <w:rFonts w:ascii="宋体" w:hAnsi="宋体" w:cs="宋体"/>
                <w:kern w:val="0"/>
                <w:sz w:val="24"/>
              </w:rPr>
            </w:pPr>
            <w:r>
              <w:rPr>
                <w:rFonts w:ascii="宋体" w:hAnsi="宋体" w:cs="宋体" w:hint="eastAsia"/>
                <w:sz w:val="24"/>
              </w:rPr>
              <w:t>29.44</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29.44</w:t>
            </w:r>
          </w:p>
        </w:tc>
        <w:tc>
          <w:tcPr>
            <w:tcW w:w="2268" w:type="dxa"/>
            <w:vAlign w:val="center"/>
          </w:tcPr>
          <w:p>
            <w:pPr>
              <w:widowControl/>
              <w:jc w:val="center"/>
              <w:rPr>
                <w:rFonts w:ascii="宋体" w:hAnsi="宋体" w:cs="宋体"/>
                <w:sz w:val="24"/>
              </w:rPr>
            </w:pPr>
            <w:r>
              <w:rPr>
                <w:rFonts w:ascii="宋体" w:hAnsi="宋体" w:cs="宋体" w:hint="eastAsia"/>
                <w:sz w:val="24"/>
              </w:rPr>
              <w:t>29.44</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专项租赁费</w:t>
            </w:r>
          </w:p>
        </w:tc>
        <w:tc>
          <w:tcPr>
            <w:tcW w:w="2268" w:type="dxa"/>
            <w:vAlign w:val="center"/>
          </w:tcPr>
          <w:p>
            <w:pPr>
              <w:widowControl/>
              <w:jc w:val="center"/>
              <w:rPr>
                <w:rFonts w:ascii="宋体" w:hAnsi="宋体" w:cs="宋体"/>
                <w:kern w:val="0"/>
                <w:sz w:val="24"/>
              </w:rPr>
            </w:pPr>
            <w:r>
              <w:rPr>
                <w:rFonts w:ascii="宋体" w:hAnsi="宋体" w:cs="宋体" w:hint="eastAsia"/>
                <w:sz w:val="24"/>
              </w:rPr>
              <w:t>40</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40</w:t>
            </w:r>
          </w:p>
        </w:tc>
        <w:tc>
          <w:tcPr>
            <w:tcW w:w="2268" w:type="dxa"/>
            <w:vAlign w:val="center"/>
          </w:tcPr>
          <w:p>
            <w:pPr>
              <w:widowControl/>
              <w:jc w:val="center"/>
              <w:rPr>
                <w:rFonts w:ascii="宋体" w:hAnsi="宋体" w:cs="宋体"/>
                <w:sz w:val="24"/>
              </w:rPr>
            </w:pPr>
            <w:r>
              <w:rPr>
                <w:rFonts w:ascii="宋体" w:hAnsi="宋体" w:cs="宋体" w:hint="eastAsia"/>
                <w:sz w:val="24"/>
              </w:rPr>
              <w:t>40</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公益性应急救护培训</w:t>
            </w:r>
          </w:p>
        </w:tc>
        <w:tc>
          <w:tcPr>
            <w:tcW w:w="2268" w:type="dxa"/>
            <w:vAlign w:val="center"/>
          </w:tcPr>
          <w:p>
            <w:pPr>
              <w:widowControl/>
              <w:jc w:val="center"/>
              <w:rPr>
                <w:rFonts w:ascii="宋体" w:hAnsi="宋体" w:cs="宋体"/>
                <w:kern w:val="0"/>
                <w:sz w:val="24"/>
              </w:rPr>
            </w:pPr>
            <w:r>
              <w:rPr>
                <w:rFonts w:ascii="宋体" w:hAnsi="宋体" w:cs="宋体" w:hint="eastAsia"/>
                <w:sz w:val="24"/>
              </w:rPr>
              <w:t>45</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45</w:t>
            </w:r>
          </w:p>
        </w:tc>
        <w:tc>
          <w:tcPr>
            <w:tcW w:w="2268" w:type="dxa"/>
            <w:vAlign w:val="center"/>
          </w:tcPr>
          <w:p>
            <w:pPr>
              <w:widowControl/>
              <w:jc w:val="center"/>
              <w:rPr>
                <w:rFonts w:ascii="宋体" w:hAnsi="宋体" w:cs="宋体"/>
                <w:sz w:val="24"/>
              </w:rPr>
            </w:pPr>
            <w:r>
              <w:rPr>
                <w:rFonts w:ascii="宋体" w:hAnsi="宋体" w:cs="宋体" w:hint="eastAsia"/>
                <w:sz w:val="24"/>
              </w:rPr>
              <w:t>45</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党团活动经费</w:t>
            </w:r>
          </w:p>
        </w:tc>
        <w:tc>
          <w:tcPr>
            <w:tcW w:w="2268" w:type="dxa"/>
            <w:vAlign w:val="center"/>
          </w:tcPr>
          <w:p>
            <w:pPr>
              <w:widowControl/>
              <w:jc w:val="center"/>
              <w:rPr>
                <w:rFonts w:ascii="宋体" w:hAnsi="宋体" w:cs="宋体"/>
                <w:kern w:val="0"/>
                <w:sz w:val="24"/>
              </w:rPr>
            </w:pPr>
            <w:r>
              <w:rPr>
                <w:rFonts w:ascii="宋体" w:hAnsi="宋体" w:cs="宋体" w:hint="eastAsia"/>
                <w:sz w:val="24"/>
              </w:rPr>
              <w:t>2.1</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2.1</w:t>
            </w:r>
          </w:p>
        </w:tc>
        <w:tc>
          <w:tcPr>
            <w:tcW w:w="2268" w:type="dxa"/>
            <w:vAlign w:val="center"/>
          </w:tcPr>
          <w:p>
            <w:pPr>
              <w:widowControl/>
              <w:jc w:val="center"/>
              <w:rPr>
                <w:rFonts w:ascii="宋体" w:hAnsi="宋体" w:cs="宋体"/>
                <w:sz w:val="24"/>
              </w:rPr>
            </w:pPr>
            <w:r>
              <w:rPr>
                <w:rFonts w:ascii="宋体" w:hAnsi="宋体" w:cs="宋体" w:hint="eastAsia"/>
                <w:sz w:val="24"/>
              </w:rPr>
              <w:t>2.1</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办公设备购置</w:t>
            </w:r>
          </w:p>
        </w:tc>
        <w:tc>
          <w:tcPr>
            <w:tcW w:w="2268" w:type="dxa"/>
            <w:vAlign w:val="center"/>
          </w:tcPr>
          <w:p>
            <w:pPr>
              <w:widowControl/>
              <w:jc w:val="center"/>
              <w:rPr>
                <w:rFonts w:ascii="宋体" w:hAnsi="宋体" w:cs="宋体"/>
                <w:kern w:val="0"/>
                <w:sz w:val="24"/>
              </w:rPr>
            </w:pPr>
            <w:r>
              <w:rPr>
                <w:rFonts w:ascii="宋体" w:hAnsi="宋体" w:cs="宋体" w:hint="eastAsia"/>
                <w:sz w:val="24"/>
              </w:rPr>
              <w:t>5</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5</w:t>
            </w:r>
          </w:p>
        </w:tc>
        <w:tc>
          <w:tcPr>
            <w:tcW w:w="2268" w:type="dxa"/>
            <w:vAlign w:val="center"/>
          </w:tcPr>
          <w:p>
            <w:pPr>
              <w:widowControl/>
              <w:jc w:val="center"/>
              <w:rPr>
                <w:rFonts w:ascii="宋体" w:hAnsi="宋体" w:cs="宋体"/>
                <w:sz w:val="24"/>
              </w:rPr>
            </w:pPr>
            <w:r>
              <w:rPr>
                <w:rFonts w:ascii="宋体" w:hAnsi="宋体" w:cs="宋体" w:hint="eastAsia"/>
                <w:sz w:val="24"/>
              </w:rPr>
              <w:t>3.99</w:t>
            </w:r>
          </w:p>
        </w:tc>
        <w:tc>
          <w:tcPr>
            <w:tcW w:w="2268" w:type="dxa"/>
            <w:vAlign w:val="center"/>
          </w:tcPr>
          <w:p>
            <w:pPr>
              <w:widowControl/>
              <w:jc w:val="center"/>
              <w:rPr>
                <w:rFonts w:ascii="宋体" w:hAnsi="宋体" w:cs="宋体"/>
                <w:sz w:val="24"/>
              </w:rPr>
            </w:pPr>
            <w:r>
              <w:rPr>
                <w:rFonts w:ascii="宋体" w:hAnsi="宋体" w:cs="宋体" w:hint="eastAsia"/>
                <w:sz w:val="24"/>
              </w:rPr>
              <w:t>79.80%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体检疗养费</w:t>
            </w:r>
          </w:p>
        </w:tc>
        <w:tc>
          <w:tcPr>
            <w:tcW w:w="2268" w:type="dxa"/>
            <w:vAlign w:val="center"/>
          </w:tcPr>
          <w:p>
            <w:pPr>
              <w:widowControl/>
              <w:jc w:val="center"/>
              <w:rPr>
                <w:rFonts w:ascii="宋体" w:hAnsi="宋体" w:cs="宋体"/>
                <w:kern w:val="0"/>
                <w:sz w:val="24"/>
              </w:rPr>
            </w:pPr>
            <w:r>
              <w:rPr>
                <w:rFonts w:ascii="宋体" w:hAnsi="宋体" w:cs="宋体" w:hint="eastAsia"/>
                <w:sz w:val="24"/>
              </w:rPr>
              <w:t>4.62</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4.62</w:t>
            </w:r>
          </w:p>
        </w:tc>
        <w:tc>
          <w:tcPr>
            <w:tcW w:w="2268" w:type="dxa"/>
            <w:vAlign w:val="center"/>
          </w:tcPr>
          <w:p>
            <w:pPr>
              <w:widowControl/>
              <w:jc w:val="center"/>
              <w:rPr>
                <w:rFonts w:ascii="宋体" w:hAnsi="宋体" w:cs="宋体"/>
                <w:sz w:val="24"/>
              </w:rPr>
            </w:pPr>
            <w:r>
              <w:rPr>
                <w:rFonts w:ascii="宋体" w:hAnsi="宋体" w:cs="宋体" w:hint="eastAsia"/>
                <w:sz w:val="24"/>
              </w:rPr>
              <w:t>4.62</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伙食经费</w:t>
            </w:r>
          </w:p>
        </w:tc>
        <w:tc>
          <w:tcPr>
            <w:tcW w:w="2268" w:type="dxa"/>
            <w:vAlign w:val="center"/>
          </w:tcPr>
          <w:p>
            <w:pPr>
              <w:widowControl/>
              <w:jc w:val="center"/>
              <w:rPr>
                <w:rFonts w:ascii="宋体" w:hAnsi="宋体" w:cs="宋体"/>
                <w:kern w:val="0"/>
                <w:sz w:val="24"/>
              </w:rPr>
            </w:pPr>
            <w:r>
              <w:rPr>
                <w:rFonts w:ascii="宋体" w:hAnsi="宋体" w:cs="宋体" w:hint="eastAsia"/>
                <w:sz w:val="24"/>
              </w:rPr>
              <w:t>15.81</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15.81</w:t>
            </w:r>
          </w:p>
        </w:tc>
        <w:tc>
          <w:tcPr>
            <w:tcW w:w="2268" w:type="dxa"/>
            <w:vAlign w:val="center"/>
          </w:tcPr>
          <w:p>
            <w:pPr>
              <w:widowControl/>
              <w:jc w:val="center"/>
              <w:rPr>
                <w:rFonts w:ascii="宋体" w:hAnsi="宋体" w:cs="宋体"/>
                <w:sz w:val="24"/>
              </w:rPr>
            </w:pPr>
            <w:r>
              <w:rPr>
                <w:rFonts w:ascii="宋体" w:hAnsi="宋体" w:cs="宋体" w:hint="eastAsia"/>
                <w:sz w:val="24"/>
              </w:rPr>
              <w:t>15.81</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红十字公益服务工作经费</w:t>
            </w:r>
          </w:p>
        </w:tc>
        <w:tc>
          <w:tcPr>
            <w:tcW w:w="2268" w:type="dxa"/>
            <w:vAlign w:val="center"/>
          </w:tcPr>
          <w:p>
            <w:pPr>
              <w:widowControl/>
              <w:jc w:val="center"/>
              <w:rPr>
                <w:rFonts w:ascii="宋体" w:hAnsi="宋体" w:cs="宋体"/>
                <w:kern w:val="0"/>
                <w:sz w:val="24"/>
              </w:rPr>
            </w:pPr>
            <w:r>
              <w:rPr>
                <w:rFonts w:ascii="宋体" w:hAnsi="宋体" w:cs="宋体" w:hint="eastAsia"/>
                <w:sz w:val="24"/>
              </w:rPr>
              <w:t>93.55</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93.55</w:t>
            </w:r>
          </w:p>
        </w:tc>
        <w:tc>
          <w:tcPr>
            <w:tcW w:w="2268" w:type="dxa"/>
            <w:vAlign w:val="center"/>
          </w:tcPr>
          <w:p>
            <w:pPr>
              <w:widowControl/>
              <w:jc w:val="center"/>
              <w:rPr>
                <w:rFonts w:ascii="宋体" w:hAnsi="宋体" w:cs="宋体"/>
                <w:sz w:val="24"/>
              </w:rPr>
            </w:pPr>
            <w:r>
              <w:rPr>
                <w:rFonts w:ascii="宋体" w:hAnsi="宋体" w:cs="宋体" w:hint="eastAsia"/>
                <w:sz w:val="24"/>
              </w:rPr>
              <w:t>93.55</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专设机构工作经费</w:t>
            </w:r>
          </w:p>
        </w:tc>
        <w:tc>
          <w:tcPr>
            <w:tcW w:w="2268" w:type="dxa"/>
            <w:vAlign w:val="center"/>
          </w:tcPr>
          <w:p>
            <w:pPr>
              <w:widowControl/>
              <w:jc w:val="center"/>
              <w:rPr>
                <w:rFonts w:ascii="宋体" w:hAnsi="宋体" w:cs="宋体"/>
                <w:kern w:val="0"/>
                <w:sz w:val="24"/>
              </w:rPr>
            </w:pPr>
            <w:r>
              <w:rPr>
                <w:rFonts w:ascii="宋体" w:hAnsi="宋体" w:cs="宋体" w:hint="eastAsia"/>
                <w:sz w:val="24"/>
              </w:rPr>
              <w:t>3</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3</w:t>
            </w:r>
          </w:p>
        </w:tc>
        <w:tc>
          <w:tcPr>
            <w:tcW w:w="2268" w:type="dxa"/>
            <w:vAlign w:val="center"/>
          </w:tcPr>
          <w:p>
            <w:pPr>
              <w:widowControl/>
              <w:jc w:val="center"/>
              <w:rPr>
                <w:rFonts w:ascii="宋体" w:hAnsi="宋体" w:cs="宋体"/>
                <w:sz w:val="24"/>
              </w:rPr>
            </w:pPr>
            <w:r>
              <w:rPr>
                <w:rFonts w:ascii="宋体" w:hAnsi="宋体" w:cs="宋体" w:hint="eastAsia"/>
                <w:sz w:val="24"/>
              </w:rPr>
              <w:t>3</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bl>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年度重点任务</w:t>
      </w:r>
    </w:p>
    <w:p w:rsidR="00F70DD5" w:rsidRDefault="00F70DD5">
      <w:pPr>
        <w:spacing w:line="360" w:lineRule="auto"/>
        <w:ind w:left="600"/>
        <w:rPr>
          <w:rFonts w:ascii="黑体" w:eastAsia="黑体" w:hAnsi="黑体"/>
          <w:sz w:val="30"/>
        </w:rPr>
      </w:pP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9"/>
        <w:gridCol w:w="3818"/>
        <w:gridCol w:w="6280"/>
      </w:tblGrid>
      <w:tr w:rsidR="00693D54" w:rsidTr="00F97F4B">
        <w:trPr>
          <w:trHeight w:val="339"/>
        </w:trPr>
        <w:tc>
          <w:tcPr>
            <w:tcW w:w="3419" w:type="dxa"/>
            <w:shd w:val="clear" w:color="000000" w:fill="BFBFBF"/>
            <w:vAlign w:val="center"/>
          </w:tcPr>
          <w:p w:rsidR="00693D54" w:rsidRDefault="00693D54">
            <w:pPr>
              <w:widowControl/>
              <w:jc w:val="center"/>
              <w:rPr>
                <w:rFonts w:ascii="宋体" w:hAnsi="宋体" w:cs="宋体"/>
                <w:b/>
                <w:bCs/>
                <w:kern w:val="0"/>
                <w:sz w:val="24"/>
              </w:rPr>
            </w:pPr>
          </w:p>
          <w:p w:rsidR="00693D54" w:rsidRDefault="00693D54">
            <w:pPr>
              <w:widowControl/>
              <w:jc w:val="center"/>
              <w:rPr>
                <w:rFonts w:ascii="宋体" w:hAnsi="宋体" w:cs="宋体"/>
                <w:b/>
                <w:bCs/>
                <w:kern w:val="0"/>
                <w:sz w:val="24"/>
              </w:rPr>
            </w:pPr>
            <w:r>
              <w:rPr>
                <w:rFonts w:ascii="宋体" w:hAnsi="宋体" w:cs="宋体" w:hint="eastAsia"/>
                <w:b/>
                <w:bCs/>
                <w:kern w:val="0"/>
                <w:sz w:val="24"/>
              </w:rPr>
              <w:t>对应部门主要职责</w:t>
            </w:r>
          </w:p>
          <w:p w:rsidR="00693D54" w:rsidRDefault="00693D54">
            <w:pPr>
              <w:widowControl/>
              <w:jc w:val="center"/>
              <w:rPr>
                <w:rFonts w:ascii="宋体" w:hAnsi="宋体" w:cs="宋体"/>
                <w:b/>
                <w:bCs/>
                <w:kern w:val="0"/>
                <w:sz w:val="24"/>
              </w:rPr>
            </w:pPr>
            <w:r>
              <w:rPr>
                <w:rFonts w:ascii="宋体" w:hAnsi="宋体" w:cs="宋体" w:hint="eastAsia"/>
                <w:b/>
                <w:bCs/>
                <w:kern w:val="0"/>
                <w:sz w:val="24"/>
              </w:rPr>
              <w:t/>
            </w:r>
          </w:p>
        </w:tc>
        <w:tc>
          <w:tcPr>
            <w:tcW w:w="3818"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任务名称</w:t>
            </w:r>
          </w:p>
        </w:tc>
        <w:tc>
          <w:tcPr>
            <w:tcW w:w="6280"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完成情况</w:t>
            </w:r>
          </w:p>
        </w:tc>
      </w:tr>
      <w:tr>
        <w:trPr>
          <w:trHeight w:val="608"/>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ascii="宋体" w:hAnsi="宋体" w:cs="宋体" w:hint="eastAsia"/>
                <w:sz w:val="24"/>
              </w:rPr>
              <w:t xml:space="preserve"> 参与宣传和推动无偿献血与造血干细胞捐献者工作，大力宣传和推动造血干细胞、遗体和器官捐献工作</w:t>
            </w:r>
          </w:p>
        </w:tc>
        <w:tc>
          <w:tcPr>
            <w:tcW w:w="3818" w:type="dxa"/>
            <w:vAlign w:val="center"/>
          </w:tcPr>
          <w:p>
            <w:pPr>
              <w:widowControl/>
              <w:jc w:val="center"/>
              <w:rPr>
                <w:rFonts w:ascii="宋体" w:hAnsi="宋体" w:cs="宋体"/>
                <w:sz w:val="24"/>
              </w:rPr>
            </w:pPr>
            <w:r>
              <w:rPr>
                <w:rFonts w:ascii="宋体" w:hAnsi="宋体" w:cs="宋体" w:hint="eastAsia"/>
                <w:sz w:val="24"/>
              </w:rPr>
              <w:t>组织开展骨髓捐献者日志愿者活动</w:t>
            </w:r>
          </w:p>
        </w:tc>
        <w:tc>
          <w:tcPr>
            <w:tcW w:w="6280" w:type="dxa"/>
            <w:vAlign w:val="center"/>
          </w:tcPr>
          <w:p>
            <w:pPr>
              <w:widowControl/>
              <w:jc w:val="center"/>
              <w:rPr>
                <w:rFonts w:ascii="宋体" w:hAnsi="宋体" w:cs="宋体"/>
                <w:sz w:val="24"/>
              </w:rPr>
            </w:pPr>
            <w:r>
              <w:rPr>
                <w:rFonts w:ascii="宋体" w:hAnsi="宋体" w:cs="宋体" w:hint="eastAsia"/>
                <w:sz w:val="24"/>
              </w:rPr>
              <w:t>持续推动造血干细胞宣传和捐献工作，新增造血干细胞采样入库2748人，实现造血干细胞捐献25例。在“世界红十字日”联合陈霞爱心基金会举办“爱髓缘 益起跑”公益宣传活动；在“世界献血者日”积极开展“汇聚青春正能量 无偿献血传爱心”主题宣传活动。积极开展“志愿者保留”项目，减少志愿者流失，完成回访志愿者3.5万人。</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宣传无偿献血</w:t>
            </w:r>
          </w:p>
        </w:tc>
        <w:tc>
          <w:tcPr>
            <w:tcW w:w="6280" w:type="dxa"/>
            <w:vAlign w:val="center"/>
          </w:tcPr>
          <w:p>
            <w:pPr>
              <w:widowControl/>
              <w:jc w:val="center"/>
              <w:rPr>
                <w:rFonts w:ascii="宋体" w:hAnsi="宋体" w:cs="宋体"/>
                <w:sz w:val="24"/>
              </w:rPr>
            </w:pPr>
            <w:r>
              <w:rPr>
                <w:rFonts w:ascii="宋体" w:hAnsi="宋体" w:cs="宋体" w:hint="eastAsia"/>
                <w:sz w:val="24"/>
              </w:rPr>
              <w:t>小血滴献血宣传项目全年在开展专项宣传活动7次，普及宣传人数达3万人，采样入库志愿者105人，超额完成项目既定目标。</w:t>
            </w:r>
          </w:p>
        </w:tc>
      </w:tr>
      <w:tr>
        <w:trPr>
          <w:trHeight w:val="608"/>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ascii="宋体" w:hAnsi="宋体" w:cs="宋体" w:hint="eastAsia"/>
                <w:sz w:val="24"/>
              </w:rPr>
              <w:t>发展志愿者队伍，组织会员和志愿者开展人道领域内的社区服务、社会救助和社会公益活动；组织开展群众性初级救护训练，组织群众参加意外伤害和自然灾害的现场保护</w:t>
            </w:r>
          </w:p>
        </w:tc>
        <w:tc>
          <w:tcPr>
            <w:tcW w:w="3818" w:type="dxa"/>
            <w:vAlign w:val="center"/>
          </w:tcPr>
          <w:p>
            <w:pPr>
              <w:widowControl/>
              <w:jc w:val="center"/>
              <w:rPr>
                <w:rFonts w:ascii="宋体" w:hAnsi="宋体" w:cs="宋体"/>
                <w:sz w:val="24"/>
              </w:rPr>
            </w:pPr>
            <w:r>
              <w:rPr>
                <w:rFonts w:ascii="宋体" w:hAnsi="宋体" w:cs="宋体" w:hint="eastAsia"/>
                <w:sz w:val="24"/>
              </w:rPr>
              <w:t>开展应急救护培训</w:t>
            </w:r>
          </w:p>
        </w:tc>
        <w:tc>
          <w:tcPr>
            <w:tcW w:w="6280" w:type="dxa"/>
            <w:vAlign w:val="center"/>
          </w:tcPr>
          <w:p>
            <w:pPr>
              <w:widowControl/>
              <w:jc w:val="center"/>
              <w:rPr>
                <w:rFonts w:ascii="宋体" w:hAnsi="宋体" w:cs="宋体"/>
                <w:sz w:val="24"/>
              </w:rPr>
            </w:pPr>
            <w:r>
              <w:rPr>
                <w:rFonts w:ascii="宋体" w:hAnsi="宋体" w:cs="宋体" w:hint="eastAsia"/>
                <w:sz w:val="24"/>
              </w:rPr>
              <w:t>持续推动应急救护进学校、进社区、进农村、进机关、进企业，大力实施“公益性救护培训7万人”实事项目，着力提升救护培训质效，针对不同需求开展初级救护员、CPR+AED、普及培训等，更好服务市民群众和市场主体的多样化需求。全年共培训19.7万人，其中持证类培训2.5万人，超额完成目标任务。</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做好博爱家园建设工作</w:t>
            </w:r>
          </w:p>
        </w:tc>
        <w:tc>
          <w:tcPr>
            <w:tcW w:w="6280" w:type="dxa"/>
            <w:vAlign w:val="center"/>
          </w:tcPr>
          <w:p>
            <w:pPr>
              <w:widowControl/>
              <w:jc w:val="center"/>
              <w:rPr>
                <w:rFonts w:ascii="宋体" w:hAnsi="宋体" w:cs="宋体"/>
                <w:sz w:val="24"/>
              </w:rPr>
            </w:pPr>
            <w:r>
              <w:rPr>
                <w:rFonts w:ascii="宋体" w:hAnsi="宋体" w:cs="宋体" w:hint="eastAsia"/>
                <w:sz w:val="24"/>
              </w:rPr>
              <w:t>新建立博爱家园14个，新成立博爱家园红十字会6个，新增志愿服务组织69个，在社区新配备AED100个。创新拓展基层组织阵地覆盖面，支持姑苏区在楼宇、产业园成立博爱家园，服务新业态新就业群体；在华恒数字科技有限公司首次成立企业红十字会，在猎豹特卫保安服务有限公司首次成立企业红十字志愿服务队，新成立1个高校红十字会。积极探索博爱家园筹资模式，全年接收捐赠6.8万元。依托博爱家园因地制宜开展救护培训、养老照护、防灾减灾宣传和红十字知识宣传等活动。全年投入人道服务资金25万元，开展人道服务项目56个，开展救护培训385场，累计受益人数1.6万人。开展“博爱送健康”义诊活动180场，服务2万人次。</w:t>
            </w:r>
          </w:p>
        </w:tc>
      </w:tr>
      <w:tr>
        <w:trPr>
          <w:trHeight w:val="608"/>
        </w:trPr>
        <w:trPr>
          <w:trHeight w:val="608"/>
        </w:trPr>
        <w:trPr>
          <w:trHeight w:val="608"/>
        </w:trPr>
        <w:trPr>
          <w:trHeight w:val="608"/>
        </w:trPr>
        <w:tc>
          <w:tcPr>
            <w:tcW w:w="3419" w:type="dxa"/>
            <w:vAlign w:val="center"/>
          </w:tcPr>
          <w:p>
            <w:pPr>
              <w:widowControl/>
              <w:jc w:val="center"/>
              <w:rPr>
                <w:rFonts w:ascii="宋体" w:hAnsi="宋体" w:cs="宋体"/>
                <w:kern w:val="0"/>
                <w:sz w:val="24"/>
              </w:rPr>
            </w:pPr>
            <w:r>
              <w:rPr>
                <w:rFonts w:ascii="宋体" w:hAnsi="宋体" w:cs="宋体" w:hint="eastAsia"/>
                <w:sz w:val="24"/>
              </w:rPr>
              <w:t>开展备灾救灾工作，争取境内外的援助，在自然灾害和突发事件中，对伤病人员和其他受害者进行救助；积极参加灾后重建及救济工作；参加国际人道主义救援工作开展备灾救灾工作，争取境内外的援助，在自然灾害和突发事件中，对伤病人员和其他受害者进行救  助；积极参加灾后重建及救济工作；参加开展备灾救灾工作，争取境内外的援助，在自然灾害和突发事件中，对伤病人员和其他受害者进行救助；积极参加灾后开展备灾救灾工作，争取境内外的援助，在自然灾害1济工作；参加国际人道主义救援工作重建及救济工作；参加 国际人道主义救援工作。</w:t>
            </w:r>
          </w:p>
        </w:tc>
        <w:tc>
          <w:tcPr>
            <w:tcW w:w="3818" w:type="dxa"/>
            <w:vAlign w:val="center"/>
          </w:tcPr>
          <w:p>
            <w:pPr>
              <w:widowControl/>
              <w:jc w:val="center"/>
              <w:rPr>
                <w:rFonts w:ascii="宋体" w:hAnsi="宋体" w:cs="宋体"/>
                <w:sz w:val="24"/>
              </w:rPr>
            </w:pPr>
            <w:r>
              <w:rPr>
                <w:rFonts w:ascii="宋体" w:hAnsi="宋体" w:cs="宋体" w:hint="eastAsia"/>
                <w:sz w:val="24"/>
              </w:rPr>
              <w:t>开展红十字应急救援队训练、演练</w:t>
            </w:r>
          </w:p>
        </w:tc>
        <w:tc>
          <w:tcPr>
            <w:tcW w:w="6280" w:type="dxa"/>
            <w:vAlign w:val="center"/>
          </w:tcPr>
          <w:p>
            <w:pPr>
              <w:widowControl/>
              <w:jc w:val="center"/>
              <w:rPr>
                <w:rFonts w:ascii="宋体" w:hAnsi="宋体" w:cs="宋体"/>
                <w:sz w:val="24"/>
              </w:rPr>
            </w:pPr>
            <w:r>
              <w:rPr>
                <w:rFonts w:ascii="宋体" w:hAnsi="宋体" w:cs="宋体" w:hint="eastAsia"/>
                <w:sz w:val="24"/>
              </w:rPr>
              <w:t>坚持日常训练和专项训练相结合，全面提升救援队专业化实战化水平。加强骨干队员培养，选派队员参加应急管理部、省红十字会组织的水域救援培训。“世界急救日”期间举办“数字赋能 救在身边”主题宣传活动，开展水上救援综合演练，救援队专业化实战化水平进一步提升。开展常态化应急救援技能培训6次，组织救援队积极参与志愿服务，重要节假日期间开展景区安全保障服务10场，为企业、社区、学校开展安全生产、防溺水培训演练22场，为金鸡湖龙舟赛、石湖龙舟赛、陈霞基金会公益跑等活动提供安全保障。推动救援队与博爱家园结对，深入社区开展救护培训、防灾减灾救灾知识普及等志愿服务73场，提高居民自救互救能力。</w:t>
            </w:r>
          </w:p>
        </w:tc>
      </w:tr>
      <w:tr>
        <w:trPr>
          <w:trHeight w:val="608"/>
        </w:trPr>
        <w:trPr>
          <w:trHeight w:val="608"/>
        </w:trPr>
        <w:trPr>
          <w:trHeight w:val="608"/>
        </w:trPr>
        <w:trPr>
          <w:trHeight w:val="608"/>
        </w:trPr>
        <w:tc>
          <w:tcPr>
            <w:tcW w:w="3419" w:type="dxa"/>
            <w:vAlign w:val="center"/>
          </w:tcPr>
          <w:p>
            <w:pPr>
              <w:widowControl/>
              <w:jc w:val="center"/>
              <w:rPr>
                <w:rFonts w:ascii="宋体" w:hAnsi="宋体" w:cs="宋体"/>
                <w:kern w:val="0"/>
                <w:sz w:val="24"/>
              </w:rPr>
            </w:pPr>
            <w:r>
              <w:rPr>
                <w:rFonts w:ascii="宋体" w:hAnsi="宋体" w:cs="宋体" w:hint="eastAsia"/>
                <w:sz w:val="24"/>
              </w:rPr>
              <w:t>宣传贯彻《中华人民共和国红十字会法》和《中华人民共和国红十字标志使用办法》，《按照中国红十字会章程 》和有关方针、政策，制定全市红十字事业发展规划宣传贯彻《中华人民共和国红十字会法》和《中华人民共和国红十字标志使用办法》，《按照中国红十字会章程》和有关方针、政策，制定全市红十字事业发展规划，指导和推动全市各级红十字会工作。，指导和推动全市各级红十字会工作。</w:t>
            </w:r>
          </w:p>
        </w:tc>
        <w:tc>
          <w:tcPr>
            <w:tcW w:w="3818" w:type="dxa"/>
            <w:vAlign w:val="center"/>
          </w:tcPr>
          <w:p>
            <w:pPr>
              <w:widowControl/>
              <w:jc w:val="center"/>
              <w:rPr>
                <w:rFonts w:ascii="宋体" w:hAnsi="宋体" w:cs="宋体"/>
                <w:sz w:val="24"/>
              </w:rPr>
            </w:pPr>
            <w:r>
              <w:rPr>
                <w:rFonts w:ascii="宋体" w:hAnsi="宋体" w:cs="宋体" w:hint="eastAsia"/>
                <w:sz w:val="24"/>
              </w:rPr>
              <w:t>世界红十字日宣传活动、红十字急救日宣传</w:t>
            </w:r>
          </w:p>
        </w:tc>
        <w:tc>
          <w:tcPr>
            <w:tcW w:w="6280" w:type="dxa"/>
            <w:vAlign w:val="center"/>
          </w:tcPr>
          <w:p>
            <w:pPr>
              <w:widowControl/>
              <w:jc w:val="center"/>
              <w:rPr>
                <w:rFonts w:ascii="宋体" w:hAnsi="宋体" w:cs="宋体"/>
                <w:sz w:val="24"/>
              </w:rPr>
            </w:pPr>
            <w:r>
              <w:rPr>
                <w:rFonts w:ascii="宋体" w:hAnsi="宋体" w:cs="宋体" w:hint="eastAsia"/>
                <w:sz w:val="24"/>
              </w:rPr>
              <w:t>组织“携手人道 链接美好”主题宣传活动、“5·8”线上红十字知识竞赛、纪念第76个世界红十字日主题宣传活动等，丰富宣传形式和内容，传播能力明显增强。全市红十字会系统被各类媒体报道380余次，市红十字会微信公众号发布文章147篇，总阅读量6.8万人次，粉丝数增长至10.3万人。其中，百岁新四军战士何娴轩捐出毕生积蓄成立助学基金的新闻被人民日报、光明网等主流媒体广泛报道，新四军老战士矢志不渝、对党忠诚、心怀人民的理想信念和高尚情怀感动了广大网友。</w:t>
            </w:r>
          </w:p>
        </w:tc>
      </w:tr>
    </w:tbl>
    <w:p w:rsidR="00F70DD5" w:rsidRDefault="00F70DD5">
      <w:pPr>
        <w:spacing w:line="360" w:lineRule="auto"/>
        <w:ind w:left="600"/>
        <w:rPr>
          <w:rFonts w:ascii="黑体" w:eastAsia="黑体" w:hAnsi="黑体"/>
          <w:sz w:val="30"/>
        </w:rPr>
      </w:pPr>
    </w:p>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部门整体自评表</w:t>
      </w:r>
    </w:p>
    <w:tbl>
      <w:tblPr>
        <w:tblpPr w:leftFromText="180" w:rightFromText="180" w:vertAnchor="text" w:horzAnchor="page" w:tblpX="1656" w:tblpY="127"/>
        <w:tblOverlap w:val="neve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2051"/>
        <w:gridCol w:w="2061"/>
        <w:gridCol w:w="1987"/>
        <w:gridCol w:w="1799"/>
        <w:gridCol w:w="1866"/>
        <w:gridCol w:w="1787"/>
        <w:gridCol w:w="1071"/>
      </w:tblGrid>
      <w:tr w:rsidR="00F70DD5">
        <w:trPr>
          <w:trHeight w:val="339"/>
        </w:trPr>
        <w:tc>
          <w:tcPr>
            <w:tcW w:w="2067"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
            </w:r>
          </w:p>
        </w:tc>
        <w:tc>
          <w:tcPr>
            <w:tcW w:w="205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类别</w:t>
            </w:r>
          </w:p>
        </w:tc>
        <w:tc>
          <w:tcPr>
            <w:tcW w:w="206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指标名称</w:t>
            </w:r>
          </w:p>
        </w:tc>
        <w:tc>
          <w:tcPr>
            <w:tcW w:w="1987"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指标目标值</w:t>
            </w:r>
          </w:p>
        </w:tc>
        <w:tc>
          <w:tcPr>
            <w:tcW w:w="179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指标完成值</w:t>
            </w:r>
          </w:p>
        </w:tc>
        <w:tc>
          <w:tcPr>
            <w:tcW w:w="1866"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完成值来源</w:t>
            </w:r>
          </w:p>
        </w:tc>
        <w:tc>
          <w:tcPr>
            <w:tcW w:w="1787" w:type="dxa"/>
            <w:shd w:val="clear" w:color="000000" w:fill="BFBFBF"/>
            <w:vAlign w:val="center"/>
          </w:tcPr>
          <w:p w:rsidR="00F70DD5" w:rsidRDefault="00BE0E9A">
            <w:pPr>
              <w:widowControl/>
              <w:jc w:val="center"/>
              <w:rPr>
                <w:rFonts w:ascii="宋体" w:hAnsi="宋体" w:cs="宋体"/>
                <w:b/>
                <w:bCs/>
                <w:sz w:val="24"/>
              </w:rPr>
            </w:pPr>
            <w:r>
              <w:rPr>
                <w:rFonts w:ascii="宋体" w:hAnsi="宋体" w:cs="宋体" w:hint="eastAsia"/>
                <w:b/>
                <w:bCs/>
                <w:sz w:val="24"/>
              </w:rPr>
              <w:t>偏差情况</w:t>
            </w:r>
          </w:p>
        </w:tc>
        <w:tc>
          <w:tcPr>
            <w:tcW w:w="1071" w:type="dxa"/>
            <w:shd w:val="clear" w:color="000000" w:fill="BFBFBF"/>
          </w:tcPr>
          <w:p w:rsidR="00F70DD5" w:rsidRDefault="00BE0E9A">
            <w:pPr>
              <w:widowControl/>
              <w:jc w:val="center"/>
              <w:rPr>
                <w:rFonts w:ascii="黑体" w:eastAsia="黑体" w:hAnsi="黑体"/>
                <w:sz w:val="30"/>
              </w:rPr>
            </w:pPr>
            <w:r>
              <w:rPr>
                <w:rFonts w:ascii="宋体" w:hAnsi="宋体" w:cs="宋体" w:hint="eastAsia"/>
                <w:b/>
                <w:bCs/>
                <w:sz w:val="24"/>
              </w:rPr>
              <w:t>原因分析</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分解目标</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决策</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工作计划制定健全性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中长期规划制定健全性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绩效目标合理性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合理</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合理</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绩效指标明确性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明确</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明确</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预算编制规范性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预算编制科学性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科学</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科学</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过程</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预决算信息公开度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公开</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公开</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预决算公开平台</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绩效管理覆盖率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资金使用合规性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基础信息完善性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完善</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完善</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非税收入管理合规性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部门预算公开</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资产管理制度健全性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固定资产年终盘点</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资产管理规范性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固定资产年终盘点</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固定资产利用率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固定资产年终盘点</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项目管理制度健全性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项目管理制度执行规范性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人员管理制度执行有效性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人员管理制度健全性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在职人员控制率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组织建设工作及时完成率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纪检监察工作有效性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业务学习与培训及时完成率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公用经费控制率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&lt;=100%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政府采购执行率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支付进度符合率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预算执行率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结转结余率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3.67%</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预算调整率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8.61%</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“三公经费”变动率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&lt;=0%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115.53%</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预算偏差率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2.24%</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非税收入预算完成率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231.41%</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2023年度部门决算</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131.41%</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效益</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支持博爱家园建设，基层社区群众广泛开展人道服务。</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较好</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较好</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有力推动社会公众救护知识、技能普及</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较好</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较好</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增强红会三救三献业务工作能力，保障单位的持续健康发展</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持续健康发展</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持续健康发展</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满意度</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公益性救护培训人员满意度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95%</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5.56%</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支持博爱家园建设，服务对象满意度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&gt;=85%</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5.88%</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履职</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维护微信公众号</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开展无偿献血宣传项目</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评选优秀博爱家园</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=8个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8个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开展线上宣传活动</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=2次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开展骨髓捐献者日志愿者相关活动</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新建博爱家园</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培训初级救护员</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&gt;=5000人</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6000人</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20.00%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红十字应急救援队综合演练</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=2次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2023年部门总结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-50.00%</w:t>
            </w:r>
          </w:p>
        </w:tc>
        <w:tc>
          <w:tcPr>
            <w:tcW w:w="1071" w:type="dxa"/>
          </w:tcPr>
          <w:p>
            <w:pPr>
              <w:spacing w:line="360" w:lineRule="auto"/>
              <w:rPr>
                <w:rFonts w:ascii="宋体" w:hAnsi="宋体" w:cs="宋体"/>
                <w:kern w:val="0"/>
                <w:sz w:val="22"/>
              </w:rPr>
            </w:pPr>
            <w:r>
              <w:rPr>
                <w:rFonts w:ascii="宋体" w:hAnsi="宋体" w:cs="宋体" w:hint="eastAsia"/>
                <w:sz w:val="24"/>
              </w:rPr>
              <w:t/>
            </w:r>
          </w:p>
        </w:tc>
      </w:tr>
    </w:tbl>
    <w:p w:rsidR="00F70DD5" w:rsidRDefault="00F70DD5">
      <w:pPr>
        <w:spacing w:line="360" w:lineRule="auto"/>
        <w:ind w:left="600"/>
        <w:rPr>
          <w:rFonts w:ascii="黑体" w:eastAsia="黑体" w:hAnsi="黑体"/>
          <w:sz w:val="30"/>
        </w:rPr>
      </w:pPr>
      <w:bookmarkStart w:id="0" w:name="_GoBack"/>
      <w:bookmarkEnd w:id="0"/>
    </w:p>
    <w:sectPr w:rsidR="00F70DD5" w:rsidSect="00F70DD5">
      <w:headerReference w:type="default" r:id="rId11"/>
      <w:footerReference w:type="default" r:id="rId12"/>
      <w:pgSz w:w="16840" w:h="11907" w:orient="landscape"/>
      <w:pgMar w:top="1559" w:right="1247" w:bottom="1400" w:left="1089"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9A" w:rsidRDefault="00BE0E9A" w:rsidP="00F70DD5">
      <w:r>
        <w:separator/>
      </w:r>
    </w:p>
  </w:endnote>
  <w:endnote w:type="continuationSeparator" w:id="0">
    <w:p w:rsidR="00BE0E9A" w:rsidRDefault="00BE0E9A" w:rsidP="00F70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end"/>
    </w:r>
  </w:p>
  <w:p w:rsidR="00F70DD5" w:rsidRDefault="00F70D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separate"/>
    </w:r>
    <w:r w:rsidR="00693D54">
      <w:rPr>
        <w:rStyle w:val="a7"/>
        <w:noProof/>
      </w:rPr>
      <w:t>1</w:t>
    </w:r>
    <w:r>
      <w:fldChar w:fldCharType="end"/>
    </w:r>
  </w:p>
  <w:p w:rsidR="00F70DD5" w:rsidRDefault="00F70DD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separate"/>
    </w:r>
    <w:r w:rsidR="00693D54">
      <w:rPr>
        <w:rStyle w:val="a7"/>
        <w:noProof/>
      </w:rPr>
      <w:t>2</w:t>
    </w:r>
    <w:r>
      <w:fldChar w:fldCharType="end"/>
    </w:r>
  </w:p>
  <w:p w:rsidR="00F70DD5" w:rsidRDefault="00F70D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9A" w:rsidRDefault="00BE0E9A" w:rsidP="00F70DD5">
      <w:r>
        <w:separator/>
      </w:r>
    </w:p>
  </w:footnote>
  <w:footnote w:type="continuationSeparator" w:id="0">
    <w:p w:rsidR="00BE0E9A" w:rsidRDefault="00BE0E9A" w:rsidP="00F70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BB9F1"/>
    <w:multiLevelType w:val="singleLevel"/>
    <w:tmpl w:val="5D7BB9F1"/>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70DD5"/>
    <w:rPr>
      <w:sz w:val="18"/>
      <w:szCs w:val="18"/>
    </w:rPr>
  </w:style>
  <w:style w:type="paragraph" w:styleId="a4">
    <w:name w:val="footer"/>
    <w:basedOn w:val="a"/>
    <w:link w:val="Char"/>
    <w:qFormat/>
    <w:rsid w:val="00F70DD5"/>
    <w:pPr>
      <w:tabs>
        <w:tab w:val="center" w:pos="4153"/>
        <w:tab w:val="right" w:pos="8306"/>
      </w:tabs>
      <w:snapToGrid w:val="0"/>
      <w:jc w:val="left"/>
    </w:pPr>
    <w:rPr>
      <w:sz w:val="18"/>
      <w:szCs w:val="18"/>
    </w:rPr>
  </w:style>
  <w:style w:type="paragraph" w:styleId="a5">
    <w:name w:val="header"/>
    <w:basedOn w:val="a"/>
    <w:link w:val="Char0"/>
    <w:qFormat/>
    <w:rsid w:val="00F70DD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70D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70DD5"/>
  </w:style>
  <w:style w:type="character" w:styleId="a8">
    <w:name w:val="Hyperlink"/>
    <w:qFormat/>
    <w:rsid w:val="00F70DD5"/>
    <w:rPr>
      <w:color w:val="0000FF"/>
      <w:u w:val="single"/>
    </w:rPr>
  </w:style>
  <w:style w:type="character" w:customStyle="1" w:styleId="1">
    <w:name w:val="已访问的超链接1"/>
    <w:qFormat/>
    <w:rsid w:val="00F70DD5"/>
    <w:rPr>
      <w:color w:val="800080"/>
      <w:u w:val="single"/>
    </w:rPr>
  </w:style>
  <w:style w:type="character" w:customStyle="1" w:styleId="Char0">
    <w:name w:val="页眉 Char"/>
    <w:link w:val="a5"/>
    <w:qFormat/>
    <w:rsid w:val="00F70DD5"/>
    <w:rPr>
      <w:kern w:val="2"/>
      <w:sz w:val="18"/>
      <w:szCs w:val="18"/>
    </w:rPr>
  </w:style>
  <w:style w:type="character" w:customStyle="1" w:styleId="Char">
    <w:name w:val="页脚 Char"/>
    <w:link w:val="a4"/>
    <w:qFormat/>
    <w:rsid w:val="00F70DD5"/>
    <w:rPr>
      <w:kern w:val="2"/>
      <w:sz w:val="18"/>
      <w:szCs w:val="18"/>
    </w:rPr>
  </w:style>
  <w:style w:type="paragraph" w:customStyle="1" w:styleId="21">
    <w:name w:val="目录 21"/>
    <w:basedOn w:val="a"/>
    <w:next w:val="a"/>
    <w:uiPriority w:val="39"/>
    <w:qFormat/>
    <w:rsid w:val="00F70DD5"/>
    <w:pPr>
      <w:tabs>
        <w:tab w:val="right" w:leader="dot" w:pos="8494"/>
      </w:tabs>
      <w:spacing w:line="560" w:lineRule="exact"/>
      <w:ind w:left="210"/>
      <w:jc w:val="left"/>
    </w:pPr>
    <w:rPr>
      <w:rFonts w:ascii="仿宋_GB2312" w:eastAsia="仿宋_GB2312" w:hAnsi="Calibri" w:cs="Calibri"/>
      <w:smallCaps/>
      <w:sz w:val="28"/>
      <w:szCs w:val="28"/>
    </w:rPr>
  </w:style>
  <w:style w:type="paragraph" w:customStyle="1" w:styleId="11">
    <w:name w:val="目录 11"/>
    <w:basedOn w:val="a"/>
    <w:next w:val="a"/>
    <w:uiPriority w:val="39"/>
    <w:qFormat/>
    <w:rsid w:val="00F70DD5"/>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customStyle="1" w:styleId="CharCharCharCharCharCharChar">
    <w:name w:val="Char Char Char Char Char Char Char"/>
    <w:basedOn w:val="a"/>
    <w:qFormat/>
    <w:rsid w:val="00F70DD5"/>
    <w:rPr>
      <w:szCs w:val="21"/>
    </w:rPr>
  </w:style>
  <w:style w:type="paragraph" w:customStyle="1" w:styleId="10">
    <w:name w:val="列出段落1"/>
    <w:basedOn w:val="a"/>
    <w:uiPriority w:val="34"/>
    <w:qFormat/>
    <w:rsid w:val="00F70DD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Words>
  <Characters>721</Characters>
  <Application>Microsoft Office Word</Application>
  <DocSecurity>0</DocSecurity>
  <Lines>6</Lines>
  <Paragraphs>1</Paragraphs>
  <ScaleCrop>false</ScaleCrop>
  <Company>czj</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2020-12-31T06:58:00Z</dcterms:created>
  <dc:creator>傅海英</dc:creator>
  <cp:lastModifiedBy>HP</cp:lastModifiedBy>
  <cp:lastPrinted>2019-06-21T02:10:00Z</cp:lastPrinted>
  <dcterms:modified xsi:type="dcterms:W3CDTF">2024-01-18T01:16:00Z</dcterms:modified>
  <cp:revision>7</cp:revision>
  <dc:title>关于进行本市部门整体支出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739EEDB2ECE141DEAF0C3D87D58590AD_13</vt:lpwstr>
  </property>
</Properties>
</file>